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bCs/>
          <w:sz w:val="32"/>
          <w:szCs w:val="40"/>
        </w:rPr>
      </w:pPr>
      <w:r>
        <w:rPr>
          <w:rFonts w:hint="eastAsia" w:ascii="仿宋_GB2312" w:hAnsi="宋体" w:eastAsia="仿宋_GB2312" w:cs="宋体"/>
          <w:bCs/>
          <w:sz w:val="32"/>
          <w:szCs w:val="40"/>
        </w:rPr>
        <w:t>附件</w:t>
      </w:r>
      <w:r>
        <w:rPr>
          <w:rFonts w:hint="eastAsia" w:ascii="仿宋_GB2312" w:hAnsi="宋体" w:eastAsia="仿宋_GB2312" w:cs="宋体"/>
          <w:bCs/>
          <w:sz w:val="32"/>
          <w:szCs w:val="40"/>
          <w:lang w:val="en-US" w:eastAsia="zh-CN"/>
        </w:rPr>
        <w:t>3</w:t>
      </w:r>
      <w:r>
        <w:rPr>
          <w:rFonts w:hint="eastAsia" w:ascii="仿宋_GB2312" w:hAnsi="宋体" w:eastAsia="仿宋_GB2312" w:cs="宋体"/>
          <w:bCs/>
          <w:sz w:val="32"/>
          <w:szCs w:val="40"/>
        </w:rPr>
        <w:t>：</w:t>
      </w:r>
    </w:p>
    <w:tbl>
      <w:tblPr>
        <w:tblStyle w:val="3"/>
        <w:tblpPr w:leftFromText="180" w:rightFromText="180" w:vertAnchor="text" w:horzAnchor="page" w:tblpX="1169" w:tblpY="1193"/>
        <w:tblOverlap w:val="never"/>
        <w:tblW w:w="4997" w:type="pct"/>
        <w:tblInd w:w="0" w:type="dxa"/>
        <w:tblLayout w:type="autofit"/>
        <w:tblCellMar>
          <w:top w:w="0" w:type="dxa"/>
          <w:left w:w="108" w:type="dxa"/>
          <w:bottom w:w="0" w:type="dxa"/>
          <w:right w:w="108" w:type="dxa"/>
        </w:tblCellMar>
      </w:tblPr>
      <w:tblGrid>
        <w:gridCol w:w="1225"/>
        <w:gridCol w:w="3121"/>
        <w:gridCol w:w="5610"/>
      </w:tblGrid>
      <w:tr>
        <w:tblPrEx>
          <w:tblCellMar>
            <w:top w:w="0" w:type="dxa"/>
            <w:left w:w="108" w:type="dxa"/>
            <w:bottom w:w="0" w:type="dxa"/>
            <w:right w:w="108" w:type="dxa"/>
          </w:tblCellMar>
        </w:tblPrEx>
        <w:trPr>
          <w:cantSplit/>
          <w:trHeight w:val="526" w:hRule="atLeast"/>
        </w:trPr>
        <w:tc>
          <w:tcPr>
            <w:tcW w:w="61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hint="eastAsia" w:ascii="宋体" w:hAnsi="宋体" w:eastAsia="宋体" w:cs="宋体"/>
                <w:b/>
                <w:szCs w:val="21"/>
              </w:rPr>
              <w:t>一级指标</w:t>
            </w:r>
          </w:p>
        </w:tc>
        <w:tc>
          <w:tcPr>
            <w:tcW w:w="15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hint="eastAsia" w:ascii="宋体" w:hAnsi="宋体" w:eastAsia="宋体" w:cs="宋体"/>
                <w:b/>
                <w:szCs w:val="21"/>
              </w:rPr>
              <w:t>二级指标</w:t>
            </w:r>
          </w:p>
        </w:tc>
        <w:tc>
          <w:tcPr>
            <w:tcW w:w="281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hint="eastAsia" w:ascii="宋体" w:hAnsi="宋体" w:eastAsia="宋体" w:cs="宋体"/>
                <w:b/>
                <w:szCs w:val="21"/>
                <w:highlight w:val="none"/>
              </w:rPr>
              <w:t>评审依据（保险公司需提供资料）</w:t>
            </w:r>
          </w:p>
        </w:tc>
      </w:tr>
      <w:tr>
        <w:tblPrEx>
          <w:tblCellMar>
            <w:top w:w="0" w:type="dxa"/>
            <w:left w:w="108" w:type="dxa"/>
            <w:bottom w:w="0" w:type="dxa"/>
            <w:right w:w="108" w:type="dxa"/>
          </w:tblCellMar>
        </w:tblPrEx>
        <w:trPr>
          <w:cantSplit/>
          <w:trHeight w:val="1685" w:hRule="atLeast"/>
        </w:trPr>
        <w:tc>
          <w:tcPr>
            <w:tcW w:w="61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hint="eastAsia" w:ascii="宋体" w:hAnsi="宋体" w:eastAsia="宋体" w:cs="宋体"/>
                <w:b/>
                <w:szCs w:val="21"/>
              </w:rPr>
              <w:t>资格证明文件</w:t>
            </w:r>
          </w:p>
        </w:tc>
        <w:tc>
          <w:tcPr>
            <w:tcW w:w="4384"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Cs/>
                <w:sz w:val="20"/>
                <w:szCs w:val="20"/>
              </w:rPr>
            </w:pPr>
            <w:r>
              <w:rPr>
                <w:rFonts w:hint="eastAsia" w:ascii="宋体" w:hAnsi="宋体" w:eastAsia="宋体" w:cs="宋体"/>
                <w:bCs/>
                <w:sz w:val="20"/>
                <w:szCs w:val="20"/>
              </w:rPr>
              <w:t>（1）保险机构在</w:t>
            </w:r>
            <w:r>
              <w:rPr>
                <w:rFonts w:hint="eastAsia" w:ascii="宋体" w:hAnsi="宋体" w:cs="宋体"/>
                <w:bCs/>
                <w:sz w:val="20"/>
                <w:szCs w:val="20"/>
                <w:lang w:val="en-US" w:eastAsia="zh-CN"/>
              </w:rPr>
              <w:t>所响应创新试点险种计划实施区域</w:t>
            </w:r>
            <w:r>
              <w:rPr>
                <w:rFonts w:hint="eastAsia" w:ascii="宋体" w:hAnsi="宋体" w:eastAsia="宋体" w:cs="宋体"/>
                <w:bCs/>
                <w:sz w:val="20"/>
                <w:szCs w:val="20"/>
              </w:rPr>
              <w:t>应设立县级分支机构，并有固定办公场所和业务人员（提供相关证明材料）。</w:t>
            </w:r>
          </w:p>
          <w:p>
            <w:pPr>
              <w:jc w:val="left"/>
              <w:rPr>
                <w:rFonts w:ascii="宋体" w:hAnsi="宋体" w:eastAsia="宋体" w:cs="宋体"/>
                <w:bCs/>
                <w:sz w:val="20"/>
                <w:szCs w:val="20"/>
              </w:rPr>
            </w:pPr>
            <w:r>
              <w:rPr>
                <w:rFonts w:hint="eastAsia" w:ascii="宋体" w:hAnsi="宋体" w:eastAsia="宋体" w:cs="宋体"/>
                <w:bCs/>
                <w:sz w:val="20"/>
                <w:szCs w:val="20"/>
              </w:rPr>
              <w:t>（2）保险机构所属总公司已与中国农业再保险股份有限公司签署当期有效的《政策性农业保险再保险标准协议》；能够按照要求与中国农业再保险股份有限公司约定分保业务信息系统进行对接（提供相关证明材料）。</w:t>
            </w:r>
          </w:p>
          <w:p>
            <w:pPr>
              <w:jc w:val="left"/>
              <w:rPr>
                <w:rFonts w:ascii="宋体" w:hAnsi="宋体" w:eastAsia="宋体" w:cs="宋体"/>
                <w:b/>
                <w:szCs w:val="21"/>
                <w:highlight w:val="cyan"/>
              </w:rPr>
            </w:pPr>
            <w:r>
              <w:rPr>
                <w:rFonts w:hint="eastAsia" w:ascii="宋体" w:hAnsi="宋体" w:eastAsia="宋体" w:cs="宋体"/>
                <w:bCs/>
                <w:sz w:val="20"/>
                <w:szCs w:val="20"/>
              </w:rPr>
              <w:t>（3）陕西分公司负责人出具授权书（原件）。</w:t>
            </w:r>
          </w:p>
        </w:tc>
      </w:tr>
      <w:tr>
        <w:tblPrEx>
          <w:tblCellMar>
            <w:top w:w="0" w:type="dxa"/>
            <w:left w:w="108" w:type="dxa"/>
            <w:bottom w:w="0" w:type="dxa"/>
            <w:right w:w="108" w:type="dxa"/>
          </w:tblCellMar>
        </w:tblPrEx>
        <w:trPr>
          <w:cantSplit/>
          <w:trHeight w:val="1230" w:hRule="atLeast"/>
        </w:trPr>
        <w:tc>
          <w:tcPr>
            <w:tcW w:w="615" w:type="pct"/>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b/>
                <w:szCs w:val="21"/>
              </w:rPr>
            </w:pPr>
            <w:r>
              <w:rPr>
                <w:rFonts w:hint="eastAsia" w:ascii="宋体" w:hAnsi="宋体" w:eastAsia="宋体" w:cs="宋体"/>
                <w:b/>
                <w:szCs w:val="21"/>
              </w:rPr>
              <w:t>履约能力（30分）</w:t>
            </w:r>
          </w:p>
        </w:tc>
        <w:tc>
          <w:tcPr>
            <w:tcW w:w="1567" w:type="pct"/>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农险基层服务网络（10分）</w:t>
            </w:r>
          </w:p>
        </w:tc>
        <w:tc>
          <w:tcPr>
            <w:tcW w:w="2817" w:type="pct"/>
            <w:tcBorders>
              <w:top w:val="single" w:color="auto" w:sz="4" w:space="0"/>
              <w:left w:val="single" w:color="000000" w:sz="4" w:space="0"/>
              <w:bottom w:val="single" w:color="auto" w:sz="4" w:space="0"/>
              <w:right w:val="single" w:color="000000" w:sz="4" w:space="0"/>
            </w:tcBorders>
            <w:vAlign w:val="center"/>
          </w:tcPr>
          <w:p>
            <w:pPr>
              <w:numPr>
                <w:ilvl w:val="0"/>
                <w:numId w:val="0"/>
              </w:numPr>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rPr>
              <w:t>县域内分支机构或服务网点（包括营销服务部、三农服务站等）清单</w:t>
            </w:r>
            <w:r>
              <w:rPr>
                <w:rFonts w:hint="eastAsia" w:ascii="宋体" w:hAnsi="宋体" w:eastAsia="宋体" w:cs="宋体"/>
                <w:sz w:val="20"/>
                <w:szCs w:val="20"/>
                <w:lang w:eastAsia="zh-CN"/>
              </w:rPr>
              <w:t>；</w:t>
            </w:r>
          </w:p>
          <w:p>
            <w:pPr>
              <w:numPr>
                <w:ilvl w:val="0"/>
                <w:numId w:val="0"/>
              </w:numPr>
              <w:rPr>
                <w:rFonts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县级分支机构或服务网点设立证明文件；</w:t>
            </w:r>
          </w:p>
          <w:p>
            <w:pPr>
              <w:numPr>
                <w:ilvl w:val="0"/>
                <w:numId w:val="0"/>
              </w:numPr>
              <w:rPr>
                <w:rFonts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固定办公场所证明材料。</w:t>
            </w:r>
          </w:p>
        </w:tc>
      </w:tr>
      <w:tr>
        <w:tblPrEx>
          <w:tblCellMar>
            <w:top w:w="0" w:type="dxa"/>
            <w:left w:w="108" w:type="dxa"/>
            <w:bottom w:w="0" w:type="dxa"/>
            <w:right w:w="108" w:type="dxa"/>
          </w:tblCellMar>
        </w:tblPrEx>
        <w:trPr>
          <w:cantSplit/>
          <w:trHeight w:val="983" w:hRule="atLeast"/>
        </w:trPr>
        <w:tc>
          <w:tcPr>
            <w:tcW w:w="615" w:type="pct"/>
            <w:vMerge w:val="continue"/>
            <w:tcBorders>
              <w:left w:val="single" w:color="000000" w:sz="4" w:space="0"/>
              <w:right w:val="single" w:color="000000" w:sz="4" w:space="0"/>
            </w:tcBorders>
            <w:vAlign w:val="center"/>
          </w:tcPr>
          <w:p>
            <w:pPr>
              <w:widowControl/>
              <w:jc w:val="center"/>
              <w:rPr>
                <w:rFonts w:ascii="宋体" w:hAnsi="宋体" w:eastAsia="宋体" w:cs="宋体"/>
                <w:b/>
                <w:szCs w:val="21"/>
              </w:rPr>
            </w:pPr>
          </w:p>
        </w:tc>
        <w:tc>
          <w:tcPr>
            <w:tcW w:w="1567" w:type="pct"/>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农险服务团队（10分）</w:t>
            </w:r>
          </w:p>
        </w:tc>
        <w:tc>
          <w:tcPr>
            <w:tcW w:w="2817" w:type="pct"/>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市级公司及</w:t>
            </w:r>
            <w:r>
              <w:rPr>
                <w:rFonts w:hint="eastAsia" w:ascii="宋体" w:hAnsi="宋体" w:eastAsia="宋体" w:cs="宋体"/>
                <w:sz w:val="20"/>
                <w:szCs w:val="20"/>
                <w:lang w:val="en-US" w:eastAsia="zh-CN"/>
              </w:rPr>
              <w:t>县级公司</w:t>
            </w:r>
            <w:r>
              <w:rPr>
                <w:rFonts w:hint="eastAsia" w:ascii="宋体" w:hAnsi="宋体" w:eastAsia="宋体" w:cs="宋体"/>
                <w:sz w:val="20"/>
                <w:szCs w:val="20"/>
              </w:rPr>
              <w:t>的农险管理团队、专职服务团队、协保员配备情况；自行列表或简述团队的人员数量、资历等情况。</w:t>
            </w:r>
          </w:p>
        </w:tc>
      </w:tr>
      <w:tr>
        <w:tblPrEx>
          <w:tblCellMar>
            <w:top w:w="0" w:type="dxa"/>
            <w:left w:w="108" w:type="dxa"/>
            <w:bottom w:w="0" w:type="dxa"/>
            <w:right w:w="108" w:type="dxa"/>
          </w:tblCellMar>
        </w:tblPrEx>
        <w:trPr>
          <w:cantSplit/>
          <w:trHeight w:val="970" w:hRule="atLeast"/>
        </w:trPr>
        <w:tc>
          <w:tcPr>
            <w:tcW w:w="615" w:type="pct"/>
            <w:vMerge w:val="continue"/>
            <w:tcBorders>
              <w:left w:val="single" w:color="000000" w:sz="4" w:space="0"/>
              <w:bottom w:val="nil"/>
              <w:right w:val="single" w:color="000000" w:sz="4" w:space="0"/>
            </w:tcBorders>
            <w:vAlign w:val="center"/>
          </w:tcPr>
          <w:p>
            <w:pPr>
              <w:widowControl/>
              <w:jc w:val="center"/>
              <w:rPr>
                <w:rFonts w:ascii="宋体" w:hAnsi="宋体" w:eastAsia="宋体" w:cs="宋体"/>
                <w:b/>
                <w:szCs w:val="21"/>
              </w:rPr>
            </w:pPr>
          </w:p>
        </w:tc>
        <w:tc>
          <w:tcPr>
            <w:tcW w:w="1567" w:type="pct"/>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基层农险服务设备的配备、技术情况（10分）</w:t>
            </w:r>
          </w:p>
        </w:tc>
        <w:tc>
          <w:tcPr>
            <w:tcW w:w="2817" w:type="pct"/>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包括但不限于农业保险承保电子化系统使用情况，农险信息系统、查勘车、查勘定损设备等，农险业务新技术的开发、使用情况等。(提供照片及简要说明)</w:t>
            </w:r>
          </w:p>
        </w:tc>
      </w:tr>
      <w:tr>
        <w:tblPrEx>
          <w:tblCellMar>
            <w:top w:w="0" w:type="dxa"/>
            <w:left w:w="108" w:type="dxa"/>
            <w:bottom w:w="0" w:type="dxa"/>
            <w:right w:w="108" w:type="dxa"/>
          </w:tblCellMar>
        </w:tblPrEx>
        <w:trPr>
          <w:cantSplit/>
          <w:trHeight w:val="940" w:hRule="atLeast"/>
        </w:trPr>
        <w:tc>
          <w:tcPr>
            <w:tcW w:w="615" w:type="pct"/>
            <w:vMerge w:val="restart"/>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b/>
                <w:szCs w:val="21"/>
              </w:rPr>
            </w:pPr>
            <w:r>
              <w:rPr>
                <w:rFonts w:hint="eastAsia" w:ascii="宋体" w:hAnsi="宋体" w:eastAsia="宋体" w:cs="宋体"/>
                <w:b/>
                <w:szCs w:val="21"/>
              </w:rPr>
              <w:t>服务水平（30分）</w:t>
            </w:r>
          </w:p>
        </w:tc>
        <w:tc>
          <w:tcPr>
            <w:tcW w:w="1567" w:type="pct"/>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highlight w:val="none"/>
              </w:rPr>
              <w:t>项目经验（10分）</w:t>
            </w:r>
          </w:p>
        </w:tc>
        <w:tc>
          <w:tcPr>
            <w:tcW w:w="2817" w:type="pct"/>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近</w:t>
            </w:r>
            <w:r>
              <w:rPr>
                <w:rFonts w:hint="eastAsia" w:ascii="宋体" w:hAnsi="宋体" w:cs="宋体"/>
                <w:sz w:val="20"/>
                <w:szCs w:val="20"/>
                <w:lang w:val="en-US" w:eastAsia="zh-CN"/>
              </w:rPr>
              <w:t>三</w:t>
            </w:r>
            <w:r>
              <w:rPr>
                <w:rFonts w:hint="eastAsia" w:ascii="宋体" w:hAnsi="宋体" w:eastAsia="宋体" w:cs="宋体"/>
                <w:sz w:val="20"/>
                <w:szCs w:val="20"/>
              </w:rPr>
              <w:t>年在榆林市辖内开展</w:t>
            </w:r>
            <w:r>
              <w:rPr>
                <w:rFonts w:hint="eastAsia" w:ascii="宋体" w:hAnsi="宋体" w:eastAsia="宋体" w:cs="宋体"/>
                <w:sz w:val="20"/>
                <w:szCs w:val="20"/>
                <w:lang w:val="en-US" w:eastAsia="zh-CN"/>
              </w:rPr>
              <w:t>创新</w:t>
            </w:r>
            <w:r>
              <w:rPr>
                <w:rFonts w:hint="eastAsia" w:ascii="宋体" w:hAnsi="宋体" w:eastAsia="宋体" w:cs="宋体"/>
                <w:sz w:val="20"/>
                <w:szCs w:val="20"/>
              </w:rPr>
              <w:t>试点品种的经验（202</w:t>
            </w:r>
            <w:r>
              <w:rPr>
                <w:rFonts w:hint="eastAsia" w:ascii="宋体" w:hAnsi="宋体" w:cs="宋体"/>
                <w:sz w:val="20"/>
                <w:szCs w:val="20"/>
                <w:lang w:val="en-US" w:eastAsia="zh-CN"/>
              </w:rPr>
              <w:t>1</w:t>
            </w:r>
            <w:r>
              <w:rPr>
                <w:rFonts w:hint="eastAsia" w:ascii="宋体" w:hAnsi="宋体" w:eastAsia="宋体" w:cs="宋体"/>
                <w:sz w:val="20"/>
                <w:szCs w:val="20"/>
              </w:rPr>
              <w:t>-202</w:t>
            </w:r>
            <w:r>
              <w:rPr>
                <w:rFonts w:hint="eastAsia" w:ascii="宋体" w:hAnsi="宋体" w:cs="宋体"/>
                <w:sz w:val="20"/>
                <w:szCs w:val="20"/>
                <w:lang w:val="en-US" w:eastAsia="zh-CN"/>
              </w:rPr>
              <w:t>3</w:t>
            </w:r>
            <w:r>
              <w:rPr>
                <w:rFonts w:hint="eastAsia" w:ascii="宋体" w:hAnsi="宋体" w:eastAsia="宋体" w:cs="宋体"/>
                <w:sz w:val="20"/>
                <w:szCs w:val="20"/>
              </w:rPr>
              <w:t>），包括开展的数量规模、社会效益、理赔情况等，并附相关证明材料。</w:t>
            </w:r>
          </w:p>
        </w:tc>
      </w:tr>
      <w:tr>
        <w:tblPrEx>
          <w:tblCellMar>
            <w:top w:w="0" w:type="dxa"/>
            <w:left w:w="108" w:type="dxa"/>
            <w:bottom w:w="0" w:type="dxa"/>
            <w:right w:w="108" w:type="dxa"/>
          </w:tblCellMar>
        </w:tblPrEx>
        <w:trPr>
          <w:cantSplit/>
          <w:trHeight w:val="735" w:hRule="atLeast"/>
        </w:trPr>
        <w:tc>
          <w:tcPr>
            <w:tcW w:w="615" w:type="pct"/>
            <w:vMerge w:val="continue"/>
            <w:tcBorders>
              <w:top w:val="single" w:color="auto" w:sz="4" w:space="0"/>
              <w:left w:val="single" w:color="000000" w:sz="4" w:space="0"/>
              <w:right w:val="single" w:color="000000" w:sz="4" w:space="0"/>
            </w:tcBorders>
            <w:vAlign w:val="center"/>
          </w:tcPr>
          <w:p>
            <w:pPr>
              <w:widowControl/>
              <w:jc w:val="center"/>
              <w:rPr>
                <w:rFonts w:ascii="宋体" w:hAnsi="宋体" w:eastAsia="宋体" w:cs="宋体"/>
                <w:b/>
                <w:szCs w:val="21"/>
              </w:rPr>
            </w:pPr>
          </w:p>
        </w:tc>
        <w:tc>
          <w:tcPr>
            <w:tcW w:w="1567" w:type="pct"/>
            <w:tcBorders>
              <w:top w:val="single" w:color="000000" w:sz="4" w:space="0"/>
              <w:left w:val="single" w:color="000000" w:sz="4" w:space="0"/>
              <w:bottom w:val="nil"/>
              <w:right w:val="single" w:color="000000" w:sz="4" w:space="0"/>
            </w:tcBorders>
            <w:vAlign w:val="center"/>
          </w:tcPr>
          <w:p>
            <w:pPr>
              <w:rPr>
                <w:rFonts w:ascii="宋体" w:hAnsi="宋体" w:eastAsia="宋体" w:cs="宋体"/>
                <w:bCs/>
                <w:sz w:val="20"/>
                <w:szCs w:val="20"/>
              </w:rPr>
            </w:pPr>
            <w:r>
              <w:rPr>
                <w:rFonts w:hint="eastAsia" w:ascii="宋体" w:hAnsi="宋体" w:eastAsia="宋体" w:cs="宋体"/>
                <w:bCs/>
                <w:sz w:val="20"/>
                <w:szCs w:val="20"/>
              </w:rPr>
              <w:t>实施方案（</w:t>
            </w:r>
            <w:r>
              <w:rPr>
                <w:rFonts w:hint="eastAsia" w:ascii="宋体" w:hAnsi="宋体" w:cs="宋体"/>
                <w:bCs/>
                <w:sz w:val="20"/>
                <w:szCs w:val="20"/>
                <w:lang w:val="en-US" w:eastAsia="zh-CN"/>
              </w:rPr>
              <w:t>20</w:t>
            </w:r>
            <w:r>
              <w:rPr>
                <w:rFonts w:hint="eastAsia" w:ascii="宋体" w:hAnsi="宋体" w:eastAsia="宋体" w:cs="宋体"/>
                <w:bCs/>
                <w:sz w:val="20"/>
                <w:szCs w:val="20"/>
              </w:rPr>
              <w:t>分）</w:t>
            </w:r>
          </w:p>
        </w:tc>
        <w:tc>
          <w:tcPr>
            <w:tcW w:w="2817" w:type="pct"/>
            <w:tcBorders>
              <w:top w:val="single" w:color="000000" w:sz="4" w:space="0"/>
              <w:left w:val="single" w:color="000000" w:sz="4" w:space="0"/>
              <w:bottom w:val="nil"/>
              <w:right w:val="single" w:color="000000" w:sz="4" w:space="0"/>
            </w:tcBorders>
            <w:vAlign w:val="center"/>
          </w:tcPr>
          <w:p>
            <w:pPr>
              <w:rPr>
                <w:rFonts w:ascii="宋体" w:hAnsi="宋体" w:eastAsia="宋体" w:cs="宋体"/>
                <w:bCs/>
                <w:sz w:val="20"/>
                <w:szCs w:val="20"/>
              </w:rPr>
            </w:pPr>
            <w:r>
              <w:rPr>
                <w:rFonts w:hint="eastAsia" w:ascii="宋体" w:hAnsi="宋体" w:eastAsia="宋体" w:cs="宋体"/>
                <w:bCs/>
                <w:sz w:val="20"/>
                <w:szCs w:val="20"/>
                <w:lang w:val="en-US" w:eastAsia="zh-CN"/>
              </w:rPr>
              <w:t>项目对应险种</w:t>
            </w:r>
            <w:r>
              <w:rPr>
                <w:rFonts w:hint="eastAsia" w:ascii="宋体" w:hAnsi="宋体" w:eastAsia="宋体" w:cs="宋体"/>
                <w:bCs/>
                <w:sz w:val="20"/>
                <w:szCs w:val="20"/>
              </w:rPr>
              <w:t>在计划试点区域的调研、宣传、培训及工作推动计划、时效等。</w:t>
            </w:r>
          </w:p>
        </w:tc>
      </w:tr>
      <w:tr>
        <w:tblPrEx>
          <w:tblCellMar>
            <w:top w:w="0" w:type="dxa"/>
            <w:left w:w="108" w:type="dxa"/>
            <w:bottom w:w="0" w:type="dxa"/>
            <w:right w:w="108" w:type="dxa"/>
          </w:tblCellMar>
        </w:tblPrEx>
        <w:trPr>
          <w:cantSplit/>
          <w:trHeight w:val="472" w:hRule="atLeast"/>
        </w:trPr>
        <w:tc>
          <w:tcPr>
            <w:tcW w:w="615" w:type="pct"/>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b/>
                <w:szCs w:val="21"/>
              </w:rPr>
            </w:pPr>
            <w:r>
              <w:rPr>
                <w:rFonts w:hint="eastAsia" w:ascii="宋体" w:hAnsi="宋体" w:eastAsia="宋体" w:cs="宋体"/>
                <w:b/>
                <w:szCs w:val="21"/>
              </w:rPr>
              <w:t>技术方案（40分）</w:t>
            </w:r>
          </w:p>
        </w:tc>
        <w:tc>
          <w:tcPr>
            <w:tcW w:w="1567" w:type="pct"/>
            <w:tcBorders>
              <w:top w:val="single" w:color="000000" w:sz="4" w:space="0"/>
              <w:left w:val="single" w:color="000000" w:sz="4" w:space="0"/>
              <w:bottom w:val="nil"/>
              <w:right w:val="single" w:color="000000" w:sz="4" w:space="0"/>
            </w:tcBorders>
            <w:vAlign w:val="center"/>
          </w:tcPr>
          <w:p>
            <w:pPr>
              <w:rPr>
                <w:rFonts w:ascii="宋体" w:hAnsi="宋体" w:eastAsia="宋体" w:cs="宋体"/>
                <w:bCs/>
                <w:sz w:val="20"/>
                <w:szCs w:val="20"/>
                <w:highlight w:val="none"/>
              </w:rPr>
            </w:pPr>
            <w:r>
              <w:rPr>
                <w:rFonts w:hint="eastAsia" w:ascii="宋体" w:hAnsi="宋体" w:eastAsia="宋体" w:cs="宋体"/>
                <w:bCs/>
                <w:sz w:val="20"/>
                <w:szCs w:val="20"/>
                <w:highlight w:val="none"/>
              </w:rPr>
              <w:t>产品开发情况（10分）</w:t>
            </w:r>
          </w:p>
        </w:tc>
        <w:tc>
          <w:tcPr>
            <w:tcW w:w="2817" w:type="pct"/>
            <w:tcBorders>
              <w:top w:val="single" w:color="000000" w:sz="4" w:space="0"/>
              <w:left w:val="single" w:color="000000" w:sz="4" w:space="0"/>
              <w:bottom w:val="nil"/>
              <w:right w:val="single" w:color="000000" w:sz="4" w:space="0"/>
            </w:tcBorders>
            <w:vAlign w:val="center"/>
          </w:tcPr>
          <w:p>
            <w:pPr>
              <w:pStyle w:val="2"/>
              <w:ind w:left="0" w:leftChars="0" w:firstLine="0" w:firstLineChars="0"/>
              <w:rPr>
                <w:rFonts w:hint="default"/>
                <w:highlight w:val="none"/>
                <w:lang w:val="en-US"/>
              </w:rPr>
            </w:pPr>
            <w:r>
              <w:rPr>
                <w:rFonts w:hint="eastAsia" w:ascii="宋体" w:hAnsi="宋体" w:eastAsia="宋体" w:cs="宋体"/>
                <w:bCs/>
                <w:sz w:val="20"/>
                <w:szCs w:val="20"/>
                <w:highlight w:val="none"/>
              </w:rPr>
              <w:t>提供已备案</w:t>
            </w:r>
            <w:r>
              <w:rPr>
                <w:rFonts w:hint="eastAsia" w:ascii="宋体" w:hAnsi="宋体" w:eastAsia="宋体" w:cs="宋体"/>
                <w:bCs/>
                <w:sz w:val="20"/>
                <w:szCs w:val="20"/>
                <w:highlight w:val="none"/>
                <w:lang w:val="en-US" w:eastAsia="zh-CN"/>
              </w:rPr>
              <w:t>产品</w:t>
            </w:r>
            <w:r>
              <w:rPr>
                <w:rFonts w:hint="eastAsia" w:ascii="宋体" w:hAnsi="宋体" w:eastAsia="宋体" w:cs="宋体"/>
                <w:bCs/>
                <w:sz w:val="20"/>
                <w:szCs w:val="20"/>
                <w:highlight w:val="none"/>
              </w:rPr>
              <w:t>的保险条款及备案表或证明资料</w:t>
            </w:r>
            <w:r>
              <w:rPr>
                <w:rFonts w:hint="eastAsia" w:ascii="宋体" w:hAnsi="宋体" w:eastAsia="宋体" w:cs="宋体"/>
                <w:bCs/>
                <w:sz w:val="20"/>
                <w:szCs w:val="20"/>
                <w:highlight w:val="none"/>
                <w:lang w:eastAsia="zh-CN"/>
              </w:rPr>
              <w:t>；尚未审批或报备的产品条款，先提交产品条款草案</w:t>
            </w:r>
            <w:r>
              <w:rPr>
                <w:rFonts w:hint="eastAsia" w:ascii="宋体" w:hAnsi="宋体" w:eastAsia="宋体" w:cs="宋体"/>
                <w:bCs/>
                <w:sz w:val="20"/>
                <w:szCs w:val="20"/>
                <w:highlight w:val="none"/>
                <w:lang w:val="en-US" w:eastAsia="zh-CN"/>
              </w:rPr>
              <w:t>及上级公司同意开展的相关证明资料</w:t>
            </w:r>
            <w:r>
              <w:rPr>
                <w:rFonts w:hint="eastAsia" w:ascii="宋体" w:hAnsi="宋体" w:eastAsia="宋体" w:cs="宋体"/>
                <w:bCs/>
                <w:sz w:val="20"/>
                <w:szCs w:val="20"/>
                <w:highlight w:val="none"/>
                <w:lang w:eastAsia="zh-CN"/>
              </w:rPr>
              <w:t>，并对产品条款审批或报备作出相应承诺</w:t>
            </w:r>
            <w:r>
              <w:rPr>
                <w:rFonts w:hint="eastAsia" w:ascii="宋体" w:hAnsi="宋体" w:eastAsia="宋体" w:cs="宋体"/>
                <w:bCs/>
                <w:sz w:val="20"/>
                <w:szCs w:val="20"/>
                <w:highlight w:val="none"/>
                <w:lang w:val="en-US" w:eastAsia="zh-CN"/>
              </w:rPr>
              <w:t>。</w:t>
            </w:r>
          </w:p>
        </w:tc>
      </w:tr>
      <w:tr>
        <w:tblPrEx>
          <w:tblCellMar>
            <w:top w:w="0" w:type="dxa"/>
            <w:left w:w="108" w:type="dxa"/>
            <w:bottom w:w="0" w:type="dxa"/>
            <w:right w:w="108" w:type="dxa"/>
          </w:tblCellMar>
        </w:tblPrEx>
        <w:trPr>
          <w:cantSplit/>
          <w:trHeight w:val="724" w:hRule="atLeast"/>
        </w:trPr>
        <w:tc>
          <w:tcPr>
            <w:tcW w:w="615" w:type="pct"/>
            <w:vMerge w:val="continue"/>
            <w:tcBorders>
              <w:left w:val="single" w:color="000000" w:sz="4" w:space="0"/>
              <w:right w:val="single" w:color="000000" w:sz="4" w:space="0"/>
            </w:tcBorders>
            <w:vAlign w:val="center"/>
          </w:tcPr>
          <w:p>
            <w:pPr>
              <w:widowControl/>
              <w:jc w:val="center"/>
              <w:rPr>
                <w:rFonts w:ascii="宋体" w:hAnsi="宋体" w:eastAsia="宋体" w:cs="宋体"/>
                <w:b/>
                <w:szCs w:val="21"/>
              </w:rPr>
            </w:pPr>
          </w:p>
        </w:tc>
        <w:tc>
          <w:tcPr>
            <w:tcW w:w="1567" w:type="pct"/>
            <w:tcBorders>
              <w:top w:val="single" w:color="auto" w:sz="4" w:space="0"/>
              <w:left w:val="single" w:color="000000" w:sz="4" w:space="0"/>
              <w:bottom w:val="nil"/>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保险方案（</w:t>
            </w:r>
            <w:r>
              <w:rPr>
                <w:rFonts w:hint="eastAsia" w:ascii="宋体" w:hAnsi="宋体" w:cs="宋体"/>
                <w:sz w:val="20"/>
                <w:szCs w:val="20"/>
                <w:lang w:val="en-US" w:eastAsia="zh-CN"/>
              </w:rPr>
              <w:t>2</w:t>
            </w:r>
            <w:r>
              <w:rPr>
                <w:rFonts w:hint="eastAsia" w:ascii="宋体" w:hAnsi="宋体" w:eastAsia="宋体" w:cs="宋体"/>
                <w:sz w:val="20"/>
                <w:szCs w:val="20"/>
              </w:rPr>
              <w:t>5分）</w:t>
            </w:r>
          </w:p>
        </w:tc>
        <w:tc>
          <w:tcPr>
            <w:tcW w:w="2817" w:type="pct"/>
            <w:tcBorders>
              <w:top w:val="single" w:color="auto" w:sz="4" w:space="0"/>
              <w:left w:val="single" w:color="000000" w:sz="4" w:space="0"/>
              <w:bottom w:val="nil"/>
              <w:right w:val="single" w:color="000000" w:sz="4" w:space="0"/>
            </w:tcBorders>
            <w:vAlign w:val="center"/>
          </w:tcPr>
          <w:p>
            <w:pPr>
              <w:rPr>
                <w:rFonts w:hint="eastAsia" w:ascii="宋体" w:hAnsi="宋体" w:eastAsia="宋体" w:cs="宋体"/>
                <w:sz w:val="20"/>
                <w:szCs w:val="20"/>
              </w:rPr>
            </w:pPr>
            <w:r>
              <w:rPr>
                <w:rFonts w:hint="eastAsia" w:ascii="宋体" w:hAnsi="宋体" w:eastAsia="宋体" w:cs="宋体"/>
                <w:sz w:val="20"/>
                <w:szCs w:val="20"/>
                <w:lang w:val="en-US" w:eastAsia="zh-CN"/>
              </w:rPr>
              <w:t>项目</w:t>
            </w:r>
            <w:r>
              <w:rPr>
                <w:rFonts w:hint="eastAsia" w:ascii="宋体" w:hAnsi="宋体" w:eastAsia="宋体" w:cs="宋体"/>
                <w:sz w:val="20"/>
                <w:szCs w:val="20"/>
              </w:rPr>
              <w:t>对应</w:t>
            </w:r>
            <w:r>
              <w:rPr>
                <w:rFonts w:hint="eastAsia" w:ascii="宋体" w:hAnsi="宋体" w:eastAsia="宋体" w:cs="宋体"/>
                <w:bCs/>
                <w:sz w:val="20"/>
                <w:szCs w:val="20"/>
                <w:lang w:val="en-US" w:eastAsia="zh-CN"/>
              </w:rPr>
              <w:t>险种</w:t>
            </w:r>
            <w:r>
              <w:rPr>
                <w:rFonts w:hint="eastAsia" w:ascii="宋体" w:hAnsi="宋体" w:eastAsia="宋体" w:cs="宋体"/>
                <w:sz w:val="20"/>
                <w:szCs w:val="20"/>
              </w:rPr>
              <w:t>的</w:t>
            </w:r>
            <w:r>
              <w:rPr>
                <w:rFonts w:hint="eastAsia" w:ascii="宋体" w:hAnsi="宋体" w:cs="宋体"/>
                <w:sz w:val="20"/>
                <w:szCs w:val="20"/>
                <w:lang w:val="en-US" w:eastAsia="zh-CN"/>
              </w:rPr>
              <w:t>单位保额保费响应情况/报价情况、</w:t>
            </w:r>
            <w:r>
              <w:rPr>
                <w:rFonts w:hint="eastAsia" w:ascii="宋体" w:hAnsi="宋体" w:eastAsia="宋体" w:cs="宋体"/>
                <w:sz w:val="20"/>
                <w:szCs w:val="20"/>
              </w:rPr>
              <w:t>保险责任范围、免赔条件、赔付标准、理赔服务方案及服务保障措施等。</w:t>
            </w:r>
          </w:p>
          <w:p>
            <w:pPr>
              <w:pStyle w:val="2"/>
              <w:ind w:left="0" w:leftChars="0" w:firstLine="0" w:firstLineChars="0"/>
              <w:rPr>
                <w:rFonts w:hint="default" w:eastAsia="宋体"/>
                <w:lang w:val="en-US" w:eastAsia="zh-CN"/>
              </w:rPr>
            </w:pPr>
            <w:r>
              <w:rPr>
                <w:rFonts w:hint="eastAsia" w:ascii="宋体" w:hAnsi="宋体" w:cs="宋体"/>
                <w:b/>
                <w:bCs/>
                <w:sz w:val="20"/>
                <w:szCs w:val="20"/>
                <w:lang w:val="en-US" w:eastAsia="zh-CN"/>
              </w:rPr>
              <w:t>注：其中单位保额保费响应情况/报价情况根据遴选要求，需要进行报价的险种填写报价表，固定单位保额保费的险种进行响应。</w:t>
            </w:r>
          </w:p>
        </w:tc>
      </w:tr>
      <w:tr>
        <w:tblPrEx>
          <w:tblCellMar>
            <w:top w:w="0" w:type="dxa"/>
            <w:left w:w="108" w:type="dxa"/>
            <w:bottom w:w="0" w:type="dxa"/>
            <w:right w:w="108" w:type="dxa"/>
          </w:tblCellMar>
        </w:tblPrEx>
        <w:trPr>
          <w:cantSplit/>
          <w:trHeight w:val="744" w:hRule="atLeast"/>
        </w:trPr>
        <w:tc>
          <w:tcPr>
            <w:tcW w:w="615" w:type="pct"/>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b/>
                <w:szCs w:val="21"/>
              </w:rPr>
            </w:pPr>
          </w:p>
        </w:tc>
        <w:tc>
          <w:tcPr>
            <w:tcW w:w="1567" w:type="pct"/>
            <w:tcBorders>
              <w:top w:val="single" w:color="auto" w:sz="4" w:space="0"/>
              <w:left w:val="single" w:color="000000" w:sz="4" w:space="0"/>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eastAsia="宋体" w:cs="宋体"/>
                <w:sz w:val="20"/>
                <w:szCs w:val="20"/>
              </w:rPr>
              <w:t>大灾风险分散机制（5分）</w:t>
            </w:r>
          </w:p>
        </w:tc>
        <w:tc>
          <w:tcPr>
            <w:tcW w:w="2817" w:type="pct"/>
            <w:tcBorders>
              <w:top w:val="single" w:color="auto" w:sz="4" w:space="0"/>
              <w:left w:val="single" w:color="auto" w:sz="4" w:space="0"/>
              <w:bottom w:val="single" w:color="auto" w:sz="4" w:space="0"/>
              <w:right w:val="single" w:color="000000" w:sz="4" w:space="0"/>
            </w:tcBorders>
            <w:vAlign w:val="center"/>
          </w:tcPr>
          <w:p>
            <w:pPr>
              <w:rPr>
                <w:rFonts w:ascii="宋体" w:hAnsi="宋体" w:eastAsia="宋体" w:cs="宋体"/>
                <w:sz w:val="20"/>
                <w:szCs w:val="20"/>
              </w:rPr>
            </w:pPr>
            <w:r>
              <w:rPr>
                <w:rFonts w:hint="eastAsia" w:ascii="宋体" w:hAnsi="宋体" w:eastAsia="宋体" w:cs="宋体"/>
                <w:sz w:val="20"/>
                <w:szCs w:val="20"/>
              </w:rPr>
              <w:t>针对农业保险突发事件、大灾（巨灾）的风险安排、风险应对预案及处理方法、政策性农业保险再保险的安排方式等。</w:t>
            </w:r>
          </w:p>
        </w:tc>
      </w:tr>
    </w:tbl>
    <w:p>
      <w:pPr>
        <w:jc w:val="center"/>
        <w:rPr>
          <w:rFonts w:hint="eastAsia" w:ascii="方正小标宋简体" w:hAnsi="宋体" w:eastAsia="方正小标宋简体" w:cs="宋体"/>
          <w:bCs/>
          <w:spacing w:val="40"/>
          <w:sz w:val="44"/>
          <w:szCs w:val="44"/>
        </w:rPr>
      </w:pPr>
      <w:r>
        <w:rPr>
          <w:rFonts w:hint="eastAsia" w:ascii="方正小标宋简体" w:hAnsi="宋体" w:eastAsia="方正小标宋简体" w:cs="宋体"/>
          <w:bCs/>
          <w:spacing w:val="40"/>
          <w:sz w:val="44"/>
          <w:szCs w:val="44"/>
        </w:rPr>
        <w:t>遴选评审办法</w:t>
      </w:r>
      <w:bookmarkStart w:id="0" w:name="_GoBack"/>
      <w:bookmarkEnd w:id="0"/>
    </w:p>
    <w:p>
      <w:pPr>
        <w:rPr>
          <w:sz w:val="28"/>
          <w:szCs w:val="36"/>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NmRmMjcwNDU2YzhiZjRkZmRkZWU3ODQ0NGFkMWEifQ=="/>
  </w:docVars>
  <w:rsids>
    <w:rsidRoot w:val="00000000"/>
    <w:rsid w:val="1C40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2024-04-30T02:44:35Z</dcterms:created>
  <dc:creator>lenovo</dc:creator>
  <cp:lastModifiedBy>郭晓萌</cp:lastModifiedBy>
  <dcterms:modified xsi:type="dcterms:W3CDTF">2024-04-30T02:45:27Z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827B5FE6DF4C44EC9F039BDB382B0E3C_12</vt:lpwstr>
  </property>
</Properties>
</file>